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1C258A" w:rsidP="00CA513B">
                            <w:pPr>
                              <w:pStyle w:val="NoSpacing"/>
                              <w:rPr>
                                <w:rStyle w:val="Strong"/>
                                <w:color w:val="1F497D" w:themeColor="text2"/>
                              </w:rPr>
                            </w:pPr>
                            <w:r>
                              <w:rPr>
                                <w:rStyle w:val="Strong"/>
                                <w:color w:val="1F497D" w:themeColor="text2"/>
                              </w:rPr>
                              <w:t>Subcommittee: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1C258A">
                              <w:rPr>
                                <w:rStyle w:val="Strong"/>
                                <w:color w:val="1F497D" w:themeColor="text2"/>
                              </w:rPr>
                              <w:t>August 26,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1C258A">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r w:rsidR="001C258A">
                              <w:rPr>
                                <w:rStyle w:val="Strong"/>
                                <w:color w:val="1F497D" w:themeColor="text2"/>
                              </w:rPr>
                              <w:t>MaineGeneral Medical Center, CR 2</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1C258A" w:rsidP="00CA513B">
                      <w:pPr>
                        <w:pStyle w:val="NoSpacing"/>
                        <w:rPr>
                          <w:rStyle w:val="Strong"/>
                          <w:color w:val="1F497D" w:themeColor="text2"/>
                        </w:rPr>
                      </w:pPr>
                      <w:r>
                        <w:rPr>
                          <w:rStyle w:val="Strong"/>
                          <w:color w:val="1F497D" w:themeColor="text2"/>
                        </w:rPr>
                        <w:t>Subcommittee: Payment Reform</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1C258A">
                        <w:rPr>
                          <w:rStyle w:val="Strong"/>
                          <w:color w:val="1F497D" w:themeColor="text2"/>
                        </w:rPr>
                        <w:t>August 26,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w:t>
                      </w:r>
                      <w:r w:rsidR="001C258A">
                        <w:rPr>
                          <w:rStyle w:val="Strong"/>
                          <w:color w:val="1F497D" w:themeColor="text2"/>
                        </w:rPr>
                        <w:t>3:00 to 5:00 pm</w:t>
                      </w:r>
                    </w:p>
                    <w:p w:rsidR="0061044D" w:rsidRDefault="0061044D" w:rsidP="00CA7F6A">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w:t>
                      </w:r>
                      <w:r w:rsidR="001C258A">
                        <w:rPr>
                          <w:rStyle w:val="Strong"/>
                          <w:color w:val="1F497D" w:themeColor="text2"/>
                        </w:rPr>
                        <w:t>MaineGeneral Medical Center, CR 2</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t xml:space="preserve">    </w:t>
      </w:r>
    </w:p>
    <w:p w:rsidR="00B360D6" w:rsidRPr="00382C14" w:rsidRDefault="00B360D6" w:rsidP="00B360D6">
      <w:r w:rsidRPr="00382C14">
        <w:rPr>
          <w:b/>
        </w:rPr>
        <w:t>Chair</w:t>
      </w:r>
      <w:r w:rsidR="00A23542">
        <w:rPr>
          <w:b/>
        </w:rPr>
        <w:t>:</w:t>
      </w:r>
      <w:bookmarkStart w:id="0" w:name="_GoBack"/>
      <w:bookmarkEnd w:id="0"/>
      <w:r w:rsidR="00CA7F6A" w:rsidRPr="00382C14">
        <w:t xml:space="preserve"> </w:t>
      </w:r>
      <w:r w:rsidR="001C258A">
        <w:t>Frank Johnson</w:t>
      </w:r>
    </w:p>
    <w:p w:rsidR="00585463" w:rsidRPr="00382C14" w:rsidRDefault="00B360D6" w:rsidP="00B360D6">
      <w:pPr>
        <w:pStyle w:val="NoSpacing"/>
      </w:pPr>
      <w:r w:rsidRPr="00382C14">
        <w:rPr>
          <w:b/>
        </w:rPr>
        <w:t>Core Member Attendance:</w:t>
      </w:r>
      <w:r w:rsidR="009F7035" w:rsidRPr="00382C14">
        <w:t xml:space="preserve"> </w:t>
      </w:r>
      <w:r w:rsidRPr="00382C14">
        <w:t xml:space="preserve"> </w:t>
      </w:r>
      <w:r w:rsidR="00C05E37" w:rsidRPr="00382C14">
        <w:t xml:space="preserve"> </w:t>
      </w:r>
      <w:r w:rsidR="001C258A">
        <w:t>Shaun Alfreds, HealthInfoNet  (remote); Mark Biscone, Waldo County General Hospital  (remote),</w:t>
      </w:r>
      <w:r w:rsidR="00DB00C7">
        <w:t xml:space="preserve"> Pat Denning, Harvard Pilgrim Health Care; Fran Jensen, CMMI (remote); Kevin Lewis, Maine Community Options; Wanda Pelkey, First Atlantic Health Care (remote); Michelle Probert, BIW; Joanne Rawlings-Sekunda, Bureau of Insurance; Ted Rooney, Maine Quality Counts (remote); Cheryl Rust, consumer; Jeff Smorczewski, Aetna.  </w:t>
      </w:r>
      <w:r w:rsidR="001C258A">
        <w:t xml:space="preserve"> </w:t>
      </w:r>
      <w:r w:rsidR="00051E6B">
        <w:t xml:space="preserve"> </w:t>
      </w:r>
    </w:p>
    <w:p w:rsidR="00051E6B" w:rsidRDefault="00B360D6" w:rsidP="00B360D6">
      <w:r w:rsidRPr="00382C14">
        <w:rPr>
          <w:b/>
        </w:rPr>
        <w:t>Ad-Hoc Members</w:t>
      </w:r>
      <w:r w:rsidR="00585463" w:rsidRPr="00382C14">
        <w:rPr>
          <w:b/>
        </w:rPr>
        <w:t xml:space="preserve">: </w:t>
      </w:r>
      <w:r w:rsidR="00F03098">
        <w:t xml:space="preserve"> </w:t>
      </w:r>
      <w:r w:rsidR="00DB00C7">
        <w:t xml:space="preserve">  </w:t>
      </w:r>
    </w:p>
    <w:p w:rsidR="00B360D6" w:rsidRPr="00382C14" w:rsidRDefault="00B360D6" w:rsidP="00B360D6">
      <w:r w:rsidRPr="00382C14">
        <w:rPr>
          <w:b/>
        </w:rPr>
        <w:t>Interested Parties &amp; Guests</w:t>
      </w:r>
      <w:r w:rsidR="00B10C95" w:rsidRPr="00382C14">
        <w:rPr>
          <w:b/>
        </w:rPr>
        <w:t xml:space="preserve">: </w:t>
      </w:r>
      <w:r w:rsidR="00C05E37" w:rsidRPr="00382C14">
        <w:rPr>
          <w:b/>
        </w:rPr>
        <w:t xml:space="preserve"> </w:t>
      </w:r>
      <w:r w:rsidR="00E3293B">
        <w:t xml:space="preserve">Randy Chenard, SIM Project Director; Barbara Leonard, MeHAF; David Hanig, Lewin (remote); Joan Klayman, USM (remote); Katie Fullam Harris, MaineHealth (Remote); Nate Morse, Maine CDC (remote); Lisa Tuttle, Maine Quality Counts (remote).  </w:t>
      </w:r>
    </w:p>
    <w:p w:rsidR="00AD5607" w:rsidRPr="00382C14" w:rsidRDefault="00B360D6" w:rsidP="008C516A">
      <w:r w:rsidRPr="00382C14">
        <w:rPr>
          <w:b/>
        </w:rPr>
        <w:t>Staff:</w:t>
      </w:r>
      <w:r w:rsidR="00CA7F6A">
        <w:t xml:space="preserve"> </w:t>
      </w:r>
      <w:r w:rsidR="00E3293B">
        <w:t xml:space="preserve">Ellen Schneiter, MHMC; Michael Delorenzo, MHMC, Nancy Morris, MHMC. </w:t>
      </w: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E3293B" w:rsidP="00E3293B">
            <w:pPr>
              <w:pStyle w:val="Formal1"/>
              <w:numPr>
                <w:ilvl w:val="0"/>
                <w:numId w:val="20"/>
              </w:numPr>
              <w:spacing w:after="0"/>
              <w:rPr>
                <w:rFonts w:asciiTheme="minorHAnsi" w:hAnsiTheme="minorHAnsi" w:cstheme="minorHAnsi"/>
                <w:b/>
                <w:sz w:val="22"/>
                <w:szCs w:val="22"/>
              </w:rPr>
            </w:pPr>
            <w:r>
              <w:rPr>
                <w:rFonts w:asciiTheme="minorHAnsi" w:hAnsiTheme="minorHAnsi" w:cstheme="minorHAnsi"/>
                <w:b/>
                <w:sz w:val="22"/>
                <w:szCs w:val="22"/>
              </w:rPr>
              <w:t>Total Cost of Care and Relative Resource Use</w:t>
            </w:r>
          </w:p>
        </w:tc>
        <w:tc>
          <w:tcPr>
            <w:tcW w:w="1620" w:type="dxa"/>
          </w:tcPr>
          <w:p w:rsidR="00046DB0" w:rsidRPr="00BA03B7" w:rsidRDefault="00E3293B" w:rsidP="0061044D">
            <w:pPr>
              <w:pStyle w:val="Formal1"/>
              <w:rPr>
                <w:rFonts w:asciiTheme="minorHAnsi" w:hAnsiTheme="minorHAnsi" w:cstheme="minorHAnsi"/>
                <w:sz w:val="22"/>
                <w:szCs w:val="22"/>
              </w:rPr>
            </w:pPr>
            <w:r w:rsidRPr="00BA03B7">
              <w:rPr>
                <w:rFonts w:asciiTheme="minorHAnsi" w:hAnsiTheme="minorHAnsi" w:cstheme="minorHAnsi"/>
                <w:sz w:val="22"/>
                <w:szCs w:val="22"/>
              </w:rPr>
              <w:t>Michael Delorenzo</w:t>
            </w:r>
          </w:p>
        </w:tc>
        <w:tc>
          <w:tcPr>
            <w:tcW w:w="4050" w:type="dxa"/>
          </w:tcPr>
          <w:p w:rsidR="00366684" w:rsidRPr="00382C14" w:rsidRDefault="00E3293B" w:rsidP="00E3293B">
            <w:r>
              <w:t xml:space="preserve">Michael Delorenzo presented the Total Cost of Care and Relative Resource Use methodology that has been endorsed by the MHMC’s Pathways to Excellence Steering Committees for public reporting. Michael outlined the key features such as attribution, risk adjustment, </w:t>
            </w:r>
            <w:r w:rsidR="00BA03B7">
              <w:t xml:space="preserve">reliability and validity testing and the conversion to indices. Michael further provided preliminary results to demonstrate variability and the relationships to </w:t>
            </w:r>
            <w:r w:rsidR="00BA03B7">
              <w:lastRenderedPageBreak/>
              <w:t>selected quality measures.</w:t>
            </w:r>
          </w:p>
        </w:tc>
        <w:tc>
          <w:tcPr>
            <w:tcW w:w="2790" w:type="dxa"/>
          </w:tcPr>
          <w:p w:rsidR="000A6C66" w:rsidRPr="00BA03B7" w:rsidRDefault="00F03098" w:rsidP="00BA03B7">
            <w:pPr>
              <w:pStyle w:val="Formal1"/>
              <w:rPr>
                <w:rFonts w:asciiTheme="minorHAnsi" w:hAnsiTheme="minorHAnsi" w:cstheme="minorHAnsi"/>
                <w:sz w:val="22"/>
                <w:szCs w:val="22"/>
              </w:rPr>
            </w:pPr>
            <w:r>
              <w:rPr>
                <w:rFonts w:asciiTheme="minorHAnsi" w:hAnsiTheme="minorHAnsi" w:cstheme="minorHAnsi"/>
                <w:b/>
                <w:sz w:val="22"/>
                <w:szCs w:val="22"/>
              </w:rPr>
              <w:lastRenderedPageBreak/>
              <w:t xml:space="preserve"> </w:t>
            </w:r>
            <w:r w:rsidR="00BA03B7">
              <w:rPr>
                <w:rFonts w:asciiTheme="minorHAnsi" w:hAnsiTheme="minorHAnsi" w:cstheme="minorHAnsi"/>
                <w:sz w:val="22"/>
                <w:szCs w:val="22"/>
              </w:rPr>
              <w:t xml:space="preserve">The Subcommittee was advised that Total Cost of Care and Relative Resource Use have been endorsed by the PTE Steering Committees for public reporting. Once the Subcommittee members have been sufficiently briefed on the methodology, it is the intent to seek </w:t>
            </w:r>
            <w:r w:rsidR="00BA03B7">
              <w:rPr>
                <w:rFonts w:asciiTheme="minorHAnsi" w:hAnsiTheme="minorHAnsi" w:cstheme="minorHAnsi"/>
                <w:sz w:val="22"/>
                <w:szCs w:val="22"/>
              </w:rPr>
              <w:lastRenderedPageBreak/>
              <w:t xml:space="preserve">endorsement from the Subcommittee and subsequent endorsement by the SIM Steering Committee. </w:t>
            </w:r>
          </w:p>
        </w:tc>
      </w:tr>
      <w:tr w:rsidR="000A6C66" w:rsidRPr="00382C14" w:rsidTr="001D798E">
        <w:tc>
          <w:tcPr>
            <w:tcW w:w="3708" w:type="dxa"/>
          </w:tcPr>
          <w:p w:rsidR="00366684" w:rsidRPr="00366684" w:rsidRDefault="00BA03B7" w:rsidP="00366684">
            <w:pPr>
              <w:rPr>
                <w:rFonts w:cstheme="minorHAnsi"/>
                <w:b/>
              </w:rPr>
            </w:pPr>
            <w:r>
              <w:rPr>
                <w:rFonts w:cstheme="minorHAnsi"/>
                <w:b/>
              </w:rPr>
              <w:lastRenderedPageBreak/>
              <w:t>Value Based Insurance Design (VBID)</w:t>
            </w:r>
          </w:p>
        </w:tc>
        <w:tc>
          <w:tcPr>
            <w:tcW w:w="1620" w:type="dxa"/>
          </w:tcPr>
          <w:p w:rsidR="000C5E04" w:rsidRPr="00BA03B7" w:rsidRDefault="00BA03B7" w:rsidP="00CA513B">
            <w:r>
              <w:t>Nancy Morris</w:t>
            </w:r>
          </w:p>
        </w:tc>
        <w:tc>
          <w:tcPr>
            <w:tcW w:w="4050" w:type="dxa"/>
          </w:tcPr>
          <w:p w:rsidR="00366684" w:rsidRPr="00382C14" w:rsidRDefault="00BA03B7" w:rsidP="00D939BC">
            <w:pPr>
              <w:spacing w:after="200" w:line="276" w:lineRule="auto"/>
              <w:rPr>
                <w:rFonts w:cstheme="minorHAnsi"/>
              </w:rPr>
            </w:pPr>
            <w:r>
              <w:rPr>
                <w:rFonts w:cstheme="minorHAnsi"/>
              </w:rPr>
              <w:t xml:space="preserve">Nancy provided the Subcommittee with an update on the VBID initiative including the sub-groups that have been assigned relative to clinical issues, administrative efficiencies, and implementation. Nancy shared the VBID chart outlines the interaction between the delivery system, payment, and patient engagement. </w:t>
            </w:r>
          </w:p>
        </w:tc>
        <w:tc>
          <w:tcPr>
            <w:tcW w:w="2790" w:type="dxa"/>
          </w:tcPr>
          <w:p w:rsidR="007824F0" w:rsidRPr="00BA03B7" w:rsidRDefault="00BA03B7" w:rsidP="00B722D3">
            <w:pPr>
              <w:spacing w:after="200" w:line="276" w:lineRule="auto"/>
              <w:rPr>
                <w:rFonts w:cstheme="minorHAnsi"/>
              </w:rPr>
            </w:pPr>
            <w:r>
              <w:rPr>
                <w:rFonts w:cstheme="minorHAnsi"/>
              </w:rPr>
              <w:t>No action was required as this was an update on current progress. The Subcommittee will continue to be updated periodically.</w:t>
            </w:r>
          </w:p>
        </w:tc>
      </w:tr>
      <w:tr w:rsidR="000C5E04" w:rsidRPr="00382C14" w:rsidTr="001D798E">
        <w:tc>
          <w:tcPr>
            <w:tcW w:w="3708" w:type="dxa"/>
          </w:tcPr>
          <w:p w:rsidR="00317EB4" w:rsidRPr="00317EB4" w:rsidRDefault="00307341" w:rsidP="00307654">
            <w:pPr>
              <w:pStyle w:val="ListParagraph"/>
              <w:ind w:left="360"/>
              <w:rPr>
                <w:rFonts w:cstheme="minorHAnsi"/>
                <w:b/>
              </w:rPr>
            </w:pPr>
            <w:r>
              <w:rPr>
                <w:rFonts w:cstheme="minorHAnsi"/>
                <w:b/>
              </w:rPr>
              <w:t>Healthcare Cost of Care Work Group</w:t>
            </w:r>
          </w:p>
        </w:tc>
        <w:tc>
          <w:tcPr>
            <w:tcW w:w="1620" w:type="dxa"/>
          </w:tcPr>
          <w:p w:rsidR="000C5E04" w:rsidRPr="00307341" w:rsidRDefault="00307341" w:rsidP="00CA513B">
            <w:r>
              <w:t>Lisa Nolan</w:t>
            </w:r>
          </w:p>
        </w:tc>
        <w:tc>
          <w:tcPr>
            <w:tcW w:w="4050" w:type="dxa"/>
          </w:tcPr>
          <w:p w:rsidR="00366684" w:rsidRPr="00382C14" w:rsidRDefault="00307341" w:rsidP="00307341">
            <w:pPr>
              <w:rPr>
                <w:rFonts w:cstheme="minorHAnsi"/>
              </w:rPr>
            </w:pPr>
            <w:r>
              <w:rPr>
                <w:rFonts w:cstheme="minorHAnsi"/>
              </w:rPr>
              <w:t xml:space="preserve">Lisa briefed the Subcommittee on developments since the last update in April. Lisa outlined the initiatives underway including the Work Group’s current focus on a growth cap for risk-based contracts, the upcoming CEO summit, and the Health Care Cost Data Book in development. Lisa’s briefing included an overview of the key elements of the first iteration of the Data Book.    </w:t>
            </w:r>
          </w:p>
        </w:tc>
        <w:tc>
          <w:tcPr>
            <w:tcW w:w="2790" w:type="dxa"/>
          </w:tcPr>
          <w:p w:rsidR="00307341" w:rsidRDefault="00307341" w:rsidP="0061044D">
            <w:pPr>
              <w:rPr>
                <w:rFonts w:cstheme="minorHAnsi"/>
              </w:rPr>
            </w:pPr>
            <w:r>
              <w:rPr>
                <w:rFonts w:cstheme="minorHAnsi"/>
              </w:rPr>
              <w:t>No action was required as this was an update on current activities. The Subcommittee will continue to be briefed periodically.</w:t>
            </w:r>
          </w:p>
          <w:p w:rsidR="00307341" w:rsidRDefault="00307341" w:rsidP="00307341">
            <w:pPr>
              <w:rPr>
                <w:rFonts w:cstheme="minorHAnsi"/>
              </w:rPr>
            </w:pPr>
          </w:p>
          <w:p w:rsidR="009A674E" w:rsidRPr="00307341" w:rsidRDefault="009A674E" w:rsidP="00307341">
            <w:pPr>
              <w:jc w:val="center"/>
              <w:rPr>
                <w:rFonts w:cstheme="minorHAnsi"/>
              </w:rPr>
            </w:pPr>
          </w:p>
        </w:tc>
      </w:tr>
      <w:tr w:rsidR="000A6C66" w:rsidRPr="00382C14" w:rsidTr="001D798E">
        <w:tc>
          <w:tcPr>
            <w:tcW w:w="3708" w:type="dxa"/>
          </w:tcPr>
          <w:p w:rsidR="000A6C66" w:rsidRPr="00366684" w:rsidRDefault="00307341" w:rsidP="00366684">
            <w:pPr>
              <w:rPr>
                <w:rFonts w:cstheme="minorHAnsi"/>
                <w:b/>
              </w:rPr>
            </w:pPr>
            <w:r>
              <w:rPr>
                <w:rFonts w:cstheme="minorHAnsi"/>
                <w:b/>
              </w:rPr>
              <w:t>Measure Alignment Work Group</w:t>
            </w:r>
          </w:p>
        </w:tc>
        <w:tc>
          <w:tcPr>
            <w:tcW w:w="1620" w:type="dxa"/>
          </w:tcPr>
          <w:p w:rsidR="000C5E04" w:rsidRPr="00307341" w:rsidRDefault="00307341" w:rsidP="00CA513B">
            <w:r>
              <w:t>Frank Johnson</w:t>
            </w:r>
          </w:p>
        </w:tc>
        <w:tc>
          <w:tcPr>
            <w:tcW w:w="4050" w:type="dxa"/>
          </w:tcPr>
          <w:p w:rsidR="00794936" w:rsidRPr="00382C14" w:rsidRDefault="00366684" w:rsidP="00307341">
            <w:pPr>
              <w:rPr>
                <w:rFonts w:cstheme="minorHAnsi"/>
              </w:rPr>
            </w:pPr>
            <w:r>
              <w:rPr>
                <w:rFonts w:cstheme="minorHAnsi"/>
              </w:rPr>
              <w:t xml:space="preserve"> </w:t>
            </w:r>
            <w:r w:rsidR="00307341">
              <w:rPr>
                <w:rFonts w:cstheme="minorHAnsi"/>
              </w:rPr>
              <w:t xml:space="preserve">Frank provided a very brief status report on the ongoing Measure Alignment Work Group project. </w:t>
            </w:r>
          </w:p>
        </w:tc>
        <w:tc>
          <w:tcPr>
            <w:tcW w:w="2790" w:type="dxa"/>
          </w:tcPr>
          <w:p w:rsidR="009A674E" w:rsidRPr="00307341" w:rsidRDefault="00307341" w:rsidP="00A3329A">
            <w:pPr>
              <w:contextualSpacing/>
              <w:rPr>
                <w:rFonts w:cstheme="minorHAnsi"/>
              </w:rPr>
            </w:pPr>
            <w:r>
              <w:t xml:space="preserve">No action is required yet however the Subcommittee will ultimately be asked to consider the recommendations of the work group upon completion of the first phase of its project expected in later October. </w:t>
            </w:r>
          </w:p>
          <w:p w:rsidR="000A6C66" w:rsidRPr="00382C14" w:rsidRDefault="000A6C66" w:rsidP="0061044D">
            <w:pPr>
              <w:rPr>
                <w:rFonts w:cstheme="minorHAnsi"/>
                <w:b/>
              </w:rPr>
            </w:pPr>
          </w:p>
        </w:tc>
      </w:tr>
      <w:tr w:rsidR="000A6C66" w:rsidRPr="00382C14" w:rsidTr="001D798E">
        <w:tc>
          <w:tcPr>
            <w:tcW w:w="3708" w:type="dxa"/>
          </w:tcPr>
          <w:p w:rsidR="000A6C66" w:rsidRDefault="00794936" w:rsidP="00752238">
            <w:pPr>
              <w:pStyle w:val="ListParagraph"/>
              <w:numPr>
                <w:ilvl w:val="0"/>
                <w:numId w:val="1"/>
              </w:numPr>
              <w:rPr>
                <w:rFonts w:asciiTheme="minorHAnsi" w:hAnsiTheme="minorHAnsi"/>
                <w:b/>
              </w:rPr>
            </w:pPr>
            <w:r>
              <w:rPr>
                <w:rFonts w:asciiTheme="minorHAnsi" w:hAnsiTheme="minorHAnsi"/>
                <w:b/>
              </w:rPr>
              <w:lastRenderedPageBreak/>
              <w:t>Risk/Dependencies</w:t>
            </w:r>
          </w:p>
          <w:p w:rsidR="00366684" w:rsidRDefault="00307654" w:rsidP="00794936">
            <w:pPr>
              <w:pStyle w:val="ListParagraph"/>
              <w:ind w:left="360"/>
              <w:rPr>
                <w:rFonts w:asciiTheme="minorHAnsi" w:hAnsiTheme="minorHAnsi"/>
                <w:b/>
              </w:rPr>
            </w:pPr>
            <w:r>
              <w:rPr>
                <w:rFonts w:asciiTheme="minorHAnsi" w:hAnsiTheme="minorHAnsi"/>
                <w:b/>
              </w:rPr>
              <w:t xml:space="preserve"> </w:t>
            </w:r>
          </w:p>
          <w:p w:rsidR="00366684" w:rsidRPr="00307654" w:rsidRDefault="00317EB4" w:rsidP="00307654">
            <w:pPr>
              <w:pStyle w:val="ListParagraph"/>
              <w:ind w:left="360"/>
              <w:rPr>
                <w:rFonts w:asciiTheme="minorHAnsi" w:hAnsiTheme="minorHAnsi"/>
                <w:b/>
              </w:rPr>
            </w:pPr>
            <w:r>
              <w:rPr>
                <w:rFonts w:asciiTheme="minorHAnsi" w:hAnsiTheme="minorHAnsi"/>
                <w:b/>
              </w:rPr>
              <w:t>Expected Action</w:t>
            </w:r>
            <w:r w:rsidR="00307654">
              <w:rPr>
                <w:rFonts w:asciiTheme="minorHAnsi" w:hAnsiTheme="minorHAnsi"/>
                <w:b/>
              </w:rPr>
              <w:t xml:space="preserve"> </w:t>
            </w:r>
          </w:p>
        </w:tc>
        <w:tc>
          <w:tcPr>
            <w:tcW w:w="1620" w:type="dxa"/>
          </w:tcPr>
          <w:p w:rsidR="000A6C66" w:rsidRDefault="000A6C66" w:rsidP="00CA513B">
            <w:pPr>
              <w:rPr>
                <w:b/>
              </w:rPr>
            </w:pPr>
            <w:r w:rsidRPr="00382C14">
              <w:rPr>
                <w:b/>
              </w:rPr>
              <w:t>All</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794936" w:rsidRDefault="00A23542" w:rsidP="009D0255">
            <w:pPr>
              <w:contextualSpacing/>
            </w:pPr>
            <w:r>
              <w:t xml:space="preserve">A discussion of Risk #24 was scheduled but the limited availability of the Delivery System Reform Subcommittee chair  due to other commitments and the time allocated the Total Cost of Care discussion precluded this dialogue. </w:t>
            </w:r>
          </w:p>
          <w:p w:rsidR="00794936" w:rsidRDefault="00794936"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Default="00205ACD" w:rsidP="009D0255">
            <w:pPr>
              <w:contextualSpacing/>
            </w:pPr>
          </w:p>
          <w:p w:rsidR="00205ACD" w:rsidRPr="00382C14" w:rsidRDefault="00205ACD" w:rsidP="009D0255">
            <w:pPr>
              <w:contextualSpacing/>
            </w:pPr>
          </w:p>
        </w:tc>
        <w:tc>
          <w:tcPr>
            <w:tcW w:w="2790" w:type="dxa"/>
          </w:tcPr>
          <w:p w:rsidR="000A6C66" w:rsidRPr="00A23542" w:rsidRDefault="00A23542" w:rsidP="00CA513B">
            <w:r>
              <w:t>This item will be considered at the next Subcommittee meeting.</w:t>
            </w: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Default="00205ACD" w:rsidP="00205ACD">
            <w:pPr>
              <w:pStyle w:val="ListParagraph"/>
              <w:ind w:left="360"/>
              <w:rPr>
                <w:rFonts w:asciiTheme="minorHAnsi" w:hAnsiTheme="minorHAnsi"/>
                <w:b/>
              </w:rPr>
            </w:pPr>
          </w:p>
          <w:p w:rsidR="00205ACD" w:rsidRPr="00CC6A19" w:rsidRDefault="00205ACD" w:rsidP="00CC6A19">
            <w:pPr>
              <w:rPr>
                <w:b/>
              </w:rPr>
            </w:pPr>
          </w:p>
          <w:p w:rsidR="00205ACD" w:rsidRPr="00382C14" w:rsidRDefault="00205ACD" w:rsidP="00205ACD">
            <w:pPr>
              <w:pStyle w:val="ListParagraph"/>
              <w:ind w:left="360"/>
              <w:rPr>
                <w:rFonts w:asciiTheme="minorHAnsi" w:hAnsiTheme="minorHAnsi"/>
                <w:b/>
              </w:rPr>
            </w:pPr>
          </w:p>
        </w:tc>
        <w:tc>
          <w:tcPr>
            <w:tcW w:w="1620" w:type="dxa"/>
          </w:tcPr>
          <w:p w:rsidR="00DC45C1" w:rsidRDefault="00DC45C1" w:rsidP="00CA513B">
            <w:pPr>
              <w:rPr>
                <w:b/>
              </w:rPr>
            </w:pPr>
            <w:r>
              <w:rPr>
                <w:b/>
              </w:rPr>
              <w:t>All</w:t>
            </w:r>
          </w:p>
          <w:p w:rsidR="00317EB4" w:rsidRPr="00382C14" w:rsidRDefault="00307654" w:rsidP="00CA513B">
            <w:pPr>
              <w:rPr>
                <w:b/>
              </w:rPr>
            </w:pPr>
            <w:r>
              <w:rPr>
                <w:b/>
              </w:rPr>
              <w:t xml:space="preserve"> </w:t>
            </w:r>
          </w:p>
        </w:tc>
        <w:tc>
          <w:tcPr>
            <w:tcW w:w="4050" w:type="dxa"/>
          </w:tcPr>
          <w:p w:rsidR="00205ACD" w:rsidRPr="00A23542" w:rsidRDefault="00A23542" w:rsidP="00DC45C1">
            <w:r>
              <w:t>No public comment other than questions posed during the presentations/updates.</w:t>
            </w:r>
          </w:p>
        </w:tc>
        <w:tc>
          <w:tcPr>
            <w:tcW w:w="2790" w:type="dxa"/>
          </w:tcPr>
          <w:p w:rsidR="00DC45C1" w:rsidRPr="00A23542" w:rsidRDefault="00A23542" w:rsidP="00CA513B">
            <w:r>
              <w:t>None.</w:t>
            </w:r>
          </w:p>
        </w:tc>
      </w:tr>
      <w:tr w:rsidR="000A6C66" w:rsidRPr="00382C14" w:rsidTr="001D798E">
        <w:tc>
          <w:tcPr>
            <w:tcW w:w="3708" w:type="dxa"/>
          </w:tcPr>
          <w:p w:rsidR="000A6C66" w:rsidRPr="00382C14" w:rsidRDefault="000A6C66" w:rsidP="00CA7F6A">
            <w:pPr>
              <w:pStyle w:val="ListParagraph"/>
              <w:ind w:left="360"/>
              <w:rPr>
                <w:rFonts w:asciiTheme="minorHAnsi" w:hAnsiTheme="minorHAnsi"/>
                <w:b/>
              </w:rPr>
            </w:pPr>
          </w:p>
        </w:tc>
        <w:tc>
          <w:tcPr>
            <w:tcW w:w="1620" w:type="dxa"/>
          </w:tcPr>
          <w:p w:rsidR="000C5E04" w:rsidRPr="00382C14" w:rsidRDefault="000C5E04" w:rsidP="00CA513B">
            <w:pPr>
              <w:rPr>
                <w:b/>
              </w:rPr>
            </w:pPr>
          </w:p>
        </w:tc>
        <w:tc>
          <w:tcPr>
            <w:tcW w:w="4050" w:type="dxa"/>
          </w:tcPr>
          <w:p w:rsidR="000A6C66" w:rsidRPr="00382C14" w:rsidRDefault="000A6C66" w:rsidP="00CA513B"/>
        </w:tc>
        <w:tc>
          <w:tcPr>
            <w:tcW w:w="2790" w:type="dxa"/>
          </w:tcPr>
          <w:p w:rsidR="000A6C66" w:rsidRPr="00382C14" w:rsidRDefault="000A6C66" w:rsidP="00CA513B">
            <w:pPr>
              <w:rPr>
                <w:b/>
              </w:rPr>
            </w:pPr>
          </w:p>
        </w:tc>
      </w:tr>
      <w:tr w:rsidR="000A6C66" w:rsidRPr="00382C14" w:rsidTr="001D798E">
        <w:tc>
          <w:tcPr>
            <w:tcW w:w="3708" w:type="dxa"/>
          </w:tcPr>
          <w:p w:rsidR="00794936" w:rsidRDefault="00307654" w:rsidP="009D0255">
            <w:pPr>
              <w:rPr>
                <w:b/>
              </w:rPr>
            </w:pPr>
            <w:r>
              <w:rPr>
                <w:b/>
              </w:rPr>
              <w:t xml:space="preserve">Next </w:t>
            </w:r>
            <w:r w:rsidR="00317EB4">
              <w:rPr>
                <w:b/>
              </w:rPr>
              <w:t>Meeting</w:t>
            </w:r>
          </w:p>
          <w:p w:rsidR="00A23542" w:rsidRPr="00A23542" w:rsidRDefault="00A23542" w:rsidP="009D0255">
            <w:r>
              <w:t>Subsequent project updates and discussion of advancing primary care payment reform strategies.</w:t>
            </w:r>
          </w:p>
          <w:p w:rsidR="00CC6A19" w:rsidRPr="00382C14" w:rsidRDefault="00307654" w:rsidP="009D0255">
            <w:pPr>
              <w:rPr>
                <w:b/>
              </w:rPr>
            </w:pPr>
            <w:r>
              <w:rPr>
                <w:b/>
              </w:rPr>
              <w:t xml:space="preserve">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382C14" w:rsidRDefault="00F03098" w:rsidP="00CA513B">
            <w:pPr>
              <w:rPr>
                <w:b/>
              </w:rPr>
            </w:pPr>
            <w:r>
              <w:rPr>
                <w:b/>
              </w:rPr>
              <w:t xml:space="preserve"> </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2E77E0" w:rsidRPr="00382C14" w:rsidRDefault="00752238" w:rsidP="00CA7F6A">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A23542">
        <w:rPr>
          <w:rFonts w:eastAsia="Times New Roman" w:cs="Times New Roman"/>
          <w:b/>
        </w:rPr>
        <w:t>October 21, 2014, 3:00 to 5:00 pm</w:t>
      </w:r>
    </w:p>
    <w:p w:rsidR="001D1B62" w:rsidRPr="00382C14" w:rsidRDefault="001D1B6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A25DD8">
        <w:tc>
          <w:tcPr>
            <w:tcW w:w="1068"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p w:rsidR="001521D1" w:rsidRPr="00382C14" w:rsidRDefault="001521D1" w:rsidP="00DC2ABE">
            <w:pPr>
              <w:rPr>
                <w:rFonts w:asciiTheme="minorHAnsi" w:hAnsiTheme="minorHAnsi"/>
                <w:b/>
                <w:sz w:val="22"/>
                <w:szCs w:val="22"/>
              </w:rPr>
            </w:pPr>
          </w:p>
        </w:tc>
        <w:tc>
          <w:tcPr>
            <w:tcW w:w="9871" w:type="dxa"/>
            <w:gridSpan w:val="3"/>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c>
          <w:tcPr>
            <w:tcW w:w="2323"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r>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227D1E" w:rsidRPr="00382C14" w:rsidTr="00DE28EB">
        <w:tc>
          <w:tcPr>
            <w:tcW w:w="1068" w:type="dxa"/>
          </w:tcPr>
          <w:p w:rsidR="00227D1E" w:rsidRPr="008A58FD" w:rsidRDefault="00227D1E" w:rsidP="00DE28EB"/>
        </w:tc>
        <w:tc>
          <w:tcPr>
            <w:tcW w:w="4844" w:type="dxa"/>
          </w:tcPr>
          <w:p w:rsidR="00227D1E" w:rsidRDefault="00227D1E" w:rsidP="00DE28EB"/>
        </w:tc>
        <w:tc>
          <w:tcPr>
            <w:tcW w:w="2942" w:type="dxa"/>
          </w:tcPr>
          <w:p w:rsidR="00227D1E" w:rsidRDefault="00227D1E" w:rsidP="00DE28EB"/>
        </w:tc>
        <w:tc>
          <w:tcPr>
            <w:tcW w:w="2085" w:type="dxa"/>
          </w:tcPr>
          <w:p w:rsidR="00227D1E" w:rsidRPr="008A58FD" w:rsidRDefault="00227D1E" w:rsidP="00DE28EB">
            <w:pPr>
              <w:rPr>
                <w:b/>
              </w:rPr>
            </w:pPr>
          </w:p>
        </w:tc>
        <w:tc>
          <w:tcPr>
            <w:tcW w:w="2323" w:type="dxa"/>
          </w:tcPr>
          <w:p w:rsidR="00227D1E" w:rsidRDefault="00227D1E" w:rsidP="00DE28EB">
            <w:pPr>
              <w:rPr>
                <w:b/>
              </w:rPr>
            </w:pPr>
          </w:p>
        </w:tc>
      </w:tr>
      <w:tr w:rsidR="00227D1E" w:rsidRPr="00382C14" w:rsidTr="00DE28EB">
        <w:tc>
          <w:tcPr>
            <w:tcW w:w="1068" w:type="dxa"/>
          </w:tcPr>
          <w:p w:rsidR="00227D1E" w:rsidRPr="008A58FD" w:rsidRDefault="00227D1E" w:rsidP="00DE28EB"/>
        </w:tc>
        <w:tc>
          <w:tcPr>
            <w:tcW w:w="4844" w:type="dxa"/>
          </w:tcPr>
          <w:p w:rsidR="00227D1E" w:rsidRDefault="00227D1E" w:rsidP="00DE28EB"/>
        </w:tc>
        <w:tc>
          <w:tcPr>
            <w:tcW w:w="2942" w:type="dxa"/>
          </w:tcPr>
          <w:p w:rsidR="00227D1E" w:rsidRDefault="00227D1E" w:rsidP="00DE28EB"/>
        </w:tc>
        <w:tc>
          <w:tcPr>
            <w:tcW w:w="2085" w:type="dxa"/>
          </w:tcPr>
          <w:p w:rsidR="00227D1E" w:rsidRPr="008A58FD" w:rsidRDefault="00227D1E" w:rsidP="00DE28EB">
            <w:pPr>
              <w:rPr>
                <w:b/>
              </w:rPr>
            </w:pPr>
          </w:p>
        </w:tc>
        <w:tc>
          <w:tcPr>
            <w:tcW w:w="2323" w:type="dxa"/>
          </w:tcPr>
          <w:p w:rsidR="00227D1E" w:rsidRDefault="00227D1E" w:rsidP="00DE28EB">
            <w:pPr>
              <w:rPr>
                <w:b/>
              </w:rPr>
            </w:pPr>
          </w:p>
        </w:tc>
      </w:tr>
      <w:tr w:rsidR="00A80B89" w:rsidRPr="00382C14" w:rsidTr="00DE28EB">
        <w:tc>
          <w:tcPr>
            <w:tcW w:w="1068" w:type="dxa"/>
          </w:tcPr>
          <w:p w:rsidR="00A80B89" w:rsidRPr="008A58FD" w:rsidRDefault="00A80B89" w:rsidP="00DE28EB">
            <w:pPr>
              <w:rPr>
                <w:rFonts w:asciiTheme="minorHAnsi" w:hAnsiTheme="minorHAnsi"/>
                <w:sz w:val="22"/>
                <w:szCs w:val="22"/>
              </w:rPr>
            </w:pPr>
          </w:p>
        </w:tc>
        <w:tc>
          <w:tcPr>
            <w:tcW w:w="4844" w:type="dxa"/>
          </w:tcPr>
          <w:p w:rsidR="00A80B89" w:rsidRPr="008A58FD" w:rsidRDefault="00A80B89" w:rsidP="00DE28EB">
            <w:pPr>
              <w:rPr>
                <w:rFonts w:asciiTheme="minorHAnsi" w:hAnsiTheme="minorHAnsi"/>
                <w:sz w:val="22"/>
                <w:szCs w:val="22"/>
              </w:rPr>
            </w:pPr>
          </w:p>
        </w:tc>
        <w:tc>
          <w:tcPr>
            <w:tcW w:w="2942" w:type="dxa"/>
          </w:tcPr>
          <w:p w:rsidR="00A80B89" w:rsidRPr="008A58FD" w:rsidRDefault="00A80B89" w:rsidP="00DE28EB">
            <w:pPr>
              <w:rPr>
                <w:rFonts w:asciiTheme="minorHAnsi" w:hAnsiTheme="minorHAnsi"/>
                <w:sz w:val="22"/>
                <w:szCs w:val="22"/>
              </w:rPr>
            </w:pPr>
          </w:p>
        </w:tc>
        <w:tc>
          <w:tcPr>
            <w:tcW w:w="2085" w:type="dxa"/>
          </w:tcPr>
          <w:p w:rsidR="00A80B89" w:rsidRPr="008A58FD" w:rsidRDefault="00A80B89" w:rsidP="00DE28EB">
            <w:pPr>
              <w:rPr>
                <w:rFonts w:asciiTheme="minorHAnsi" w:hAnsiTheme="minorHAnsi"/>
                <w:b/>
                <w:sz w:val="22"/>
                <w:szCs w:val="22"/>
              </w:rPr>
            </w:pPr>
          </w:p>
        </w:tc>
        <w:tc>
          <w:tcPr>
            <w:tcW w:w="2323" w:type="dxa"/>
          </w:tcPr>
          <w:p w:rsidR="00A80B89" w:rsidRPr="008A58FD" w:rsidRDefault="00A80B89" w:rsidP="00DE28EB">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E57983">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1B589D" w:rsidRPr="00382C14" w:rsidTr="00A25DD8">
        <w:tc>
          <w:tcPr>
            <w:tcW w:w="1068" w:type="dxa"/>
          </w:tcPr>
          <w:p w:rsidR="001B589D" w:rsidRPr="00382C14" w:rsidRDefault="001B589D" w:rsidP="00DC2ABE">
            <w:pPr>
              <w:rPr>
                <w:rFonts w:asciiTheme="minorHAnsi" w:hAnsiTheme="minorHAnsi"/>
                <w:sz w:val="22"/>
                <w:szCs w:val="22"/>
              </w:rPr>
            </w:pPr>
          </w:p>
        </w:tc>
        <w:tc>
          <w:tcPr>
            <w:tcW w:w="4844" w:type="dxa"/>
          </w:tcPr>
          <w:p w:rsidR="001B589D" w:rsidRPr="00382C14" w:rsidRDefault="001B589D" w:rsidP="00E57983">
            <w:pPr>
              <w:rPr>
                <w:rFonts w:asciiTheme="minorHAnsi" w:hAnsiTheme="minorHAnsi"/>
                <w:sz w:val="22"/>
                <w:szCs w:val="22"/>
              </w:rPr>
            </w:pPr>
          </w:p>
        </w:tc>
        <w:tc>
          <w:tcPr>
            <w:tcW w:w="2942" w:type="dxa"/>
          </w:tcPr>
          <w:p w:rsidR="001B589D" w:rsidRPr="00382C14" w:rsidRDefault="001B589D" w:rsidP="00DC2ABE">
            <w:pPr>
              <w:rPr>
                <w:rFonts w:asciiTheme="minorHAnsi" w:hAnsiTheme="minorHAnsi"/>
                <w:sz w:val="22"/>
                <w:szCs w:val="22"/>
              </w:rPr>
            </w:pPr>
          </w:p>
        </w:tc>
        <w:tc>
          <w:tcPr>
            <w:tcW w:w="2085" w:type="dxa"/>
          </w:tcPr>
          <w:p w:rsidR="001B589D" w:rsidRPr="00382C14" w:rsidRDefault="001B589D" w:rsidP="00DC2ABE">
            <w:pPr>
              <w:rPr>
                <w:rFonts w:asciiTheme="minorHAnsi" w:hAnsiTheme="minorHAnsi"/>
                <w:b/>
                <w:sz w:val="22"/>
                <w:szCs w:val="22"/>
              </w:rPr>
            </w:pPr>
          </w:p>
        </w:tc>
        <w:tc>
          <w:tcPr>
            <w:tcW w:w="2323" w:type="dxa"/>
          </w:tcPr>
          <w:p w:rsidR="001B589D" w:rsidRPr="00382C14" w:rsidRDefault="001B589D"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E57983">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61044D">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E57983">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A25DD8">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b/>
                <w:sz w:val="22"/>
                <w:szCs w:val="22"/>
              </w:rPr>
            </w:pPr>
          </w:p>
        </w:tc>
        <w:tc>
          <w:tcPr>
            <w:tcW w:w="2942" w:type="dxa"/>
          </w:tcPr>
          <w:p w:rsidR="00E57983" w:rsidRPr="00382C14" w:rsidRDefault="00E57983" w:rsidP="00DC2ABE">
            <w:pPr>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b/>
                <w:sz w:val="22"/>
                <w:szCs w:val="22"/>
              </w:rPr>
            </w:pPr>
          </w:p>
        </w:tc>
        <w:tc>
          <w:tcPr>
            <w:tcW w:w="2942" w:type="dxa"/>
          </w:tcPr>
          <w:p w:rsidR="00E57983" w:rsidRPr="00382C14" w:rsidRDefault="00E57983" w:rsidP="00DC2ABE">
            <w:pPr>
              <w:ind w:left="360"/>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p>
        </w:tc>
        <w:tc>
          <w:tcPr>
            <w:tcW w:w="4844" w:type="dxa"/>
          </w:tcPr>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2860"/>
        <w:gridCol w:w="4410"/>
        <w:gridCol w:w="5992"/>
      </w:tblGrid>
      <w:tr w:rsidR="00CA7F6A" w:rsidRPr="00382C14" w:rsidTr="00FC631B">
        <w:tc>
          <w:tcPr>
            <w:tcW w:w="13262" w:type="dxa"/>
            <w:gridSpan w:val="3"/>
            <w:shd w:val="clear" w:color="auto" w:fill="D9D9D9" w:themeFill="background1" w:themeFillShade="D9"/>
          </w:tcPr>
          <w:p w:rsidR="00CA7F6A" w:rsidRPr="00382C14" w:rsidRDefault="00CA7F6A" w:rsidP="00A93934">
            <w:pPr>
              <w:jc w:val="center"/>
              <w:rPr>
                <w:b/>
              </w:rPr>
            </w:pPr>
            <w:r w:rsidRPr="00382C14">
              <w:rPr>
                <w:rFonts w:asciiTheme="minorHAnsi" w:hAnsiTheme="minorHAnsi"/>
                <w:b/>
                <w:sz w:val="22"/>
                <w:szCs w:val="22"/>
              </w:rPr>
              <w:t>Dependencies Tracking</w:t>
            </w:r>
          </w:p>
        </w:tc>
      </w:tr>
      <w:tr w:rsidR="00CA7F6A" w:rsidRPr="00382C14" w:rsidTr="00CA7F6A">
        <w:tc>
          <w:tcPr>
            <w:tcW w:w="2860" w:type="dxa"/>
          </w:tcPr>
          <w:p w:rsidR="00CA7F6A" w:rsidRPr="00382C14" w:rsidRDefault="00CA7F6A" w:rsidP="00A93934">
            <w:pPr>
              <w:rPr>
                <w:rFonts w:asciiTheme="minorHAnsi" w:hAnsiTheme="minorHAnsi"/>
                <w:b/>
                <w:sz w:val="22"/>
                <w:szCs w:val="22"/>
              </w:rPr>
            </w:pPr>
            <w:r w:rsidRPr="00382C14">
              <w:rPr>
                <w:rFonts w:asciiTheme="minorHAnsi" w:hAnsiTheme="minorHAnsi"/>
                <w:b/>
                <w:sz w:val="22"/>
                <w:szCs w:val="22"/>
              </w:rPr>
              <w:t>Payment Reform</w:t>
            </w:r>
          </w:p>
        </w:tc>
        <w:tc>
          <w:tcPr>
            <w:tcW w:w="4410" w:type="dxa"/>
          </w:tcPr>
          <w:p w:rsidR="00CA7F6A" w:rsidRPr="00382C14" w:rsidRDefault="00CA7F6A" w:rsidP="00A93934">
            <w:pPr>
              <w:rPr>
                <w:rFonts w:asciiTheme="minorHAnsi" w:hAnsiTheme="minorHAnsi"/>
                <w:b/>
                <w:sz w:val="22"/>
                <w:szCs w:val="22"/>
              </w:rPr>
            </w:pPr>
            <w:r w:rsidRPr="00382C14">
              <w:rPr>
                <w:rFonts w:asciiTheme="minorHAnsi" w:hAnsiTheme="minorHAnsi"/>
                <w:b/>
                <w:sz w:val="22"/>
                <w:szCs w:val="22"/>
              </w:rPr>
              <w:t>Data Infrastructure</w:t>
            </w:r>
          </w:p>
        </w:tc>
        <w:tc>
          <w:tcPr>
            <w:tcW w:w="5992" w:type="dxa"/>
          </w:tcPr>
          <w:p w:rsidR="00CA7F6A" w:rsidRPr="00382C14" w:rsidRDefault="00CA7F6A" w:rsidP="00A93934">
            <w:pPr>
              <w:rPr>
                <w:b/>
              </w:rPr>
            </w:pPr>
            <w:r>
              <w:rPr>
                <w:b/>
              </w:rPr>
              <w:t>Delivery System Reform</w:t>
            </w:r>
          </w:p>
        </w:tc>
      </w:tr>
      <w:tr w:rsidR="00CA7F6A" w:rsidRPr="00382C14" w:rsidTr="00CA7F6A">
        <w:trPr>
          <w:trHeight w:val="458"/>
        </w:trPr>
        <w:tc>
          <w:tcPr>
            <w:tcW w:w="2860" w:type="dxa"/>
          </w:tcPr>
          <w:p w:rsidR="00CA7F6A" w:rsidRDefault="00CA7F6A" w:rsidP="00A93934"/>
          <w:p w:rsidR="00CA7F6A" w:rsidRDefault="00CA7F6A" w:rsidP="00A93934"/>
          <w:p w:rsidR="00CA7F6A" w:rsidRDefault="00CA7F6A" w:rsidP="00A93934"/>
          <w:p w:rsidR="00CA7F6A" w:rsidRDefault="00CA7F6A" w:rsidP="00A93934"/>
        </w:tc>
        <w:tc>
          <w:tcPr>
            <w:tcW w:w="4410" w:type="dxa"/>
          </w:tcPr>
          <w:p w:rsidR="00CA7F6A" w:rsidRDefault="00CA7F6A" w:rsidP="00A93934"/>
        </w:tc>
        <w:tc>
          <w:tcPr>
            <w:tcW w:w="5992" w:type="dxa"/>
          </w:tcPr>
          <w:p w:rsidR="00CA7F6A" w:rsidRDefault="00CA7F6A" w:rsidP="00A93934"/>
        </w:tc>
      </w:tr>
      <w:tr w:rsidR="00CA7F6A" w:rsidRPr="00382C14" w:rsidTr="00CA7F6A">
        <w:tc>
          <w:tcPr>
            <w:tcW w:w="2860" w:type="dxa"/>
          </w:tcPr>
          <w:p w:rsidR="00CA7F6A" w:rsidRPr="008D12EE" w:rsidRDefault="00CA7F6A" w:rsidP="00A93934">
            <w:pPr>
              <w:rPr>
                <w:rFonts w:asciiTheme="minorHAnsi" w:hAnsiTheme="minorHAnsi"/>
                <w:sz w:val="22"/>
                <w:szCs w:val="22"/>
              </w:rPr>
            </w:pPr>
          </w:p>
        </w:tc>
        <w:tc>
          <w:tcPr>
            <w:tcW w:w="4410" w:type="dxa"/>
          </w:tcPr>
          <w:p w:rsidR="00CA7F6A" w:rsidRPr="007A711B" w:rsidRDefault="00CA7F6A" w:rsidP="00A93934">
            <w:pPr>
              <w:rPr>
                <w:rFonts w:asciiTheme="minorHAnsi" w:hAnsiTheme="minorHAnsi"/>
                <w:sz w:val="22"/>
                <w:szCs w:val="22"/>
              </w:rPr>
            </w:pPr>
          </w:p>
        </w:tc>
        <w:tc>
          <w:tcPr>
            <w:tcW w:w="5992" w:type="dxa"/>
          </w:tcPr>
          <w:p w:rsidR="00CA7F6A" w:rsidRPr="007A711B" w:rsidRDefault="00CA7F6A" w:rsidP="00A93934"/>
        </w:tc>
      </w:tr>
      <w:tr w:rsidR="00CA7F6A" w:rsidRPr="00382C14" w:rsidTr="00CA7F6A">
        <w:tc>
          <w:tcPr>
            <w:tcW w:w="2860" w:type="dxa"/>
          </w:tcPr>
          <w:p w:rsidR="00CA7F6A" w:rsidRPr="00382C14" w:rsidRDefault="00CA7F6A" w:rsidP="00A93934"/>
        </w:tc>
        <w:tc>
          <w:tcPr>
            <w:tcW w:w="4410" w:type="dxa"/>
          </w:tcPr>
          <w:p w:rsidR="00CA7F6A" w:rsidRPr="00382C14" w:rsidRDefault="00CA7F6A" w:rsidP="00A93934"/>
        </w:tc>
        <w:tc>
          <w:tcPr>
            <w:tcW w:w="5992" w:type="dxa"/>
          </w:tcPr>
          <w:p w:rsidR="00CA7F6A" w:rsidRPr="00382C14" w:rsidRDefault="00CA7F6A" w:rsidP="00A93934"/>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A93934">
            <w:pPr>
              <w:rPr>
                <w:rFonts w:asciiTheme="minorHAnsi" w:hAnsiTheme="minorHAnsi"/>
                <w:sz w:val="22"/>
                <w:szCs w:val="22"/>
              </w:rPr>
            </w:pPr>
          </w:p>
        </w:tc>
        <w:tc>
          <w:tcPr>
            <w:tcW w:w="5992" w:type="dxa"/>
          </w:tcPr>
          <w:p w:rsidR="00CA7F6A" w:rsidRPr="00382C14" w:rsidRDefault="00CA7F6A" w:rsidP="00A93934"/>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A93934">
            <w:pPr>
              <w:rPr>
                <w:rFonts w:asciiTheme="minorHAnsi" w:hAnsiTheme="minorHAnsi"/>
                <w:sz w:val="22"/>
                <w:szCs w:val="22"/>
              </w:rPr>
            </w:pPr>
          </w:p>
        </w:tc>
        <w:tc>
          <w:tcPr>
            <w:tcW w:w="5992" w:type="dxa"/>
          </w:tcPr>
          <w:p w:rsidR="00CA7F6A" w:rsidRPr="00382C14" w:rsidRDefault="00CA7F6A" w:rsidP="00A93934"/>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A93934">
            <w:pPr>
              <w:rPr>
                <w:rFonts w:asciiTheme="minorHAnsi" w:hAnsiTheme="minorHAnsi"/>
                <w:sz w:val="22"/>
                <w:szCs w:val="22"/>
              </w:rPr>
            </w:pPr>
          </w:p>
        </w:tc>
        <w:tc>
          <w:tcPr>
            <w:tcW w:w="5992" w:type="dxa"/>
          </w:tcPr>
          <w:p w:rsidR="00CA7F6A" w:rsidRPr="00382C14" w:rsidRDefault="00CA7F6A" w:rsidP="00A93934"/>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3B18D0">
            <w:pPr>
              <w:contextualSpacing/>
              <w:rPr>
                <w:rFonts w:asciiTheme="minorHAnsi" w:hAnsiTheme="minorHAnsi" w:cstheme="minorHAnsi"/>
                <w:sz w:val="22"/>
                <w:szCs w:val="22"/>
              </w:rPr>
            </w:pPr>
          </w:p>
        </w:tc>
        <w:tc>
          <w:tcPr>
            <w:tcW w:w="5992" w:type="dxa"/>
          </w:tcPr>
          <w:p w:rsidR="00CA7F6A" w:rsidRPr="00382C14" w:rsidRDefault="00CA7F6A" w:rsidP="003B18D0">
            <w:pPr>
              <w:contextualSpacing/>
              <w:rPr>
                <w:rFonts w:cstheme="minorHAnsi"/>
              </w:rPr>
            </w:pPr>
          </w:p>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3B18D0">
            <w:pPr>
              <w:contextualSpacing/>
              <w:rPr>
                <w:rFonts w:asciiTheme="minorHAnsi" w:hAnsiTheme="minorHAnsi" w:cstheme="minorHAnsi"/>
                <w:sz w:val="22"/>
                <w:szCs w:val="22"/>
              </w:rPr>
            </w:pPr>
          </w:p>
        </w:tc>
        <w:tc>
          <w:tcPr>
            <w:tcW w:w="5992" w:type="dxa"/>
          </w:tcPr>
          <w:p w:rsidR="00CA7F6A" w:rsidRPr="00382C14" w:rsidRDefault="00CA7F6A" w:rsidP="003B18D0">
            <w:pPr>
              <w:contextualSpacing/>
              <w:rPr>
                <w:rFonts w:cstheme="minorHAnsi"/>
              </w:rPr>
            </w:pPr>
          </w:p>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3B18D0">
            <w:pPr>
              <w:contextualSpacing/>
              <w:rPr>
                <w:rFonts w:asciiTheme="minorHAnsi" w:hAnsiTheme="minorHAnsi" w:cstheme="minorHAnsi"/>
                <w:sz w:val="22"/>
                <w:szCs w:val="22"/>
              </w:rPr>
            </w:pPr>
          </w:p>
        </w:tc>
        <w:tc>
          <w:tcPr>
            <w:tcW w:w="5992" w:type="dxa"/>
          </w:tcPr>
          <w:p w:rsidR="00CA7F6A" w:rsidRPr="00382C14" w:rsidRDefault="00CA7F6A" w:rsidP="003B18D0">
            <w:pPr>
              <w:contextualSpacing/>
              <w:rPr>
                <w:rFonts w:cstheme="minorHAnsi"/>
              </w:rPr>
            </w:pPr>
          </w:p>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3B18D0">
            <w:pPr>
              <w:rPr>
                <w:rFonts w:asciiTheme="minorHAnsi" w:hAnsiTheme="minorHAnsi"/>
                <w:sz w:val="22"/>
                <w:szCs w:val="22"/>
              </w:rPr>
            </w:pPr>
          </w:p>
        </w:tc>
        <w:tc>
          <w:tcPr>
            <w:tcW w:w="5992" w:type="dxa"/>
          </w:tcPr>
          <w:p w:rsidR="00CA7F6A" w:rsidRPr="00382C14" w:rsidRDefault="00CA7F6A" w:rsidP="003B18D0"/>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A93934">
            <w:pPr>
              <w:rPr>
                <w:rFonts w:asciiTheme="minorHAnsi" w:hAnsiTheme="minorHAnsi"/>
                <w:sz w:val="22"/>
                <w:szCs w:val="22"/>
              </w:rPr>
            </w:pPr>
          </w:p>
        </w:tc>
        <w:tc>
          <w:tcPr>
            <w:tcW w:w="5992" w:type="dxa"/>
          </w:tcPr>
          <w:p w:rsidR="00CA7F6A" w:rsidRPr="00382C14" w:rsidRDefault="00CA7F6A" w:rsidP="00A93934"/>
        </w:tc>
      </w:tr>
      <w:tr w:rsidR="00CA7F6A" w:rsidRPr="00382C14" w:rsidTr="00CA7F6A">
        <w:tc>
          <w:tcPr>
            <w:tcW w:w="2860" w:type="dxa"/>
          </w:tcPr>
          <w:p w:rsidR="00CA7F6A" w:rsidRPr="00382C14" w:rsidRDefault="00CA7F6A" w:rsidP="00A93934">
            <w:pPr>
              <w:rPr>
                <w:rFonts w:asciiTheme="minorHAnsi" w:hAnsiTheme="minorHAnsi"/>
                <w:sz w:val="22"/>
                <w:szCs w:val="22"/>
              </w:rPr>
            </w:pPr>
          </w:p>
        </w:tc>
        <w:tc>
          <w:tcPr>
            <w:tcW w:w="4410" w:type="dxa"/>
          </w:tcPr>
          <w:p w:rsidR="00CA7F6A" w:rsidRPr="00382C14" w:rsidRDefault="00CA7F6A" w:rsidP="00A93934">
            <w:pPr>
              <w:rPr>
                <w:rFonts w:asciiTheme="minorHAnsi" w:hAnsiTheme="minorHAnsi"/>
                <w:b/>
                <w:sz w:val="22"/>
                <w:szCs w:val="22"/>
              </w:rPr>
            </w:pPr>
          </w:p>
        </w:tc>
        <w:tc>
          <w:tcPr>
            <w:tcW w:w="5992" w:type="dxa"/>
          </w:tcPr>
          <w:p w:rsidR="00CA7F6A" w:rsidRPr="00382C14" w:rsidRDefault="00CA7F6A" w:rsidP="00A93934">
            <w:pPr>
              <w:rPr>
                <w:b/>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even" r:id="rId13"/>
      <w:headerReference w:type="default" r:id="rId14"/>
      <w:footerReference w:type="even" r:id="rId15"/>
      <w:footerReference w:type="default" r:id="rId16"/>
      <w:headerReference w:type="first" r:id="rId17"/>
      <w:footerReference w:type="first" r:id="rId18"/>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88" w:rsidRDefault="006F7A88" w:rsidP="009528AC">
      <w:pPr>
        <w:spacing w:after="0" w:line="240" w:lineRule="auto"/>
      </w:pPr>
      <w:r>
        <w:separator/>
      </w:r>
    </w:p>
  </w:endnote>
  <w:endnote w:type="continuationSeparator" w:id="0">
    <w:p w:rsidR="006F7A88" w:rsidRDefault="006F7A88"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8A" w:rsidRDefault="001C2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A23542">
          <w:rPr>
            <w:noProof/>
          </w:rPr>
          <w:t>4</w:t>
        </w:r>
        <w:r>
          <w:rPr>
            <w:noProof/>
          </w:rPr>
          <w:fldChar w:fldCharType="end"/>
        </w:r>
      </w:p>
    </w:sdtContent>
  </w:sdt>
  <w:p w:rsidR="0061044D" w:rsidRDefault="006104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8A" w:rsidRDefault="001C2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88" w:rsidRDefault="006F7A88" w:rsidP="009528AC">
      <w:pPr>
        <w:spacing w:after="0" w:line="240" w:lineRule="auto"/>
      </w:pPr>
      <w:r>
        <w:separator/>
      </w:r>
    </w:p>
  </w:footnote>
  <w:footnote w:type="continuationSeparator" w:id="0">
    <w:p w:rsidR="006F7A88" w:rsidRDefault="006F7A88"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8A" w:rsidRDefault="001C2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44D" w:rsidRDefault="006104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8A" w:rsidRDefault="001C2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C366E"/>
    <w:multiLevelType w:val="hybridMultilevel"/>
    <w:tmpl w:val="4944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6B298A"/>
    <w:multiLevelType w:val="hybridMultilevel"/>
    <w:tmpl w:val="EB2C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5"/>
  </w:num>
  <w:num w:numId="4">
    <w:abstractNumId w:val="2"/>
  </w:num>
  <w:num w:numId="5">
    <w:abstractNumId w:val="5"/>
  </w:num>
  <w:num w:numId="6">
    <w:abstractNumId w:val="11"/>
  </w:num>
  <w:num w:numId="7">
    <w:abstractNumId w:val="0"/>
  </w:num>
  <w:num w:numId="8">
    <w:abstractNumId w:val="16"/>
  </w:num>
  <w:num w:numId="9">
    <w:abstractNumId w:val="13"/>
  </w:num>
  <w:num w:numId="10">
    <w:abstractNumId w:val="6"/>
  </w:num>
  <w:num w:numId="11">
    <w:abstractNumId w:val="14"/>
  </w:num>
  <w:num w:numId="12">
    <w:abstractNumId w:val="1"/>
  </w:num>
  <w:num w:numId="13">
    <w:abstractNumId w:val="7"/>
  </w:num>
  <w:num w:numId="14">
    <w:abstractNumId w:val="12"/>
  </w:num>
  <w:num w:numId="15">
    <w:abstractNumId w:val="17"/>
  </w:num>
  <w:num w:numId="16">
    <w:abstractNumId w:val="9"/>
  </w:num>
  <w:num w:numId="17">
    <w:abstractNumId w:val="4"/>
  </w:num>
  <w:num w:numId="18">
    <w:abstractNumId w:val="8"/>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3E1C"/>
    <w:rsid w:val="00046DB0"/>
    <w:rsid w:val="00047088"/>
    <w:rsid w:val="00051E6B"/>
    <w:rsid w:val="00053DB9"/>
    <w:rsid w:val="00066456"/>
    <w:rsid w:val="00086D9D"/>
    <w:rsid w:val="00097E02"/>
    <w:rsid w:val="000A6C66"/>
    <w:rsid w:val="000B280D"/>
    <w:rsid w:val="000B3716"/>
    <w:rsid w:val="000B6131"/>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521D1"/>
    <w:rsid w:val="0015221F"/>
    <w:rsid w:val="0015295E"/>
    <w:rsid w:val="001565FD"/>
    <w:rsid w:val="001774A5"/>
    <w:rsid w:val="001828A9"/>
    <w:rsid w:val="00184A3F"/>
    <w:rsid w:val="0019691C"/>
    <w:rsid w:val="00197039"/>
    <w:rsid w:val="0019779D"/>
    <w:rsid w:val="001A2AA7"/>
    <w:rsid w:val="001A3885"/>
    <w:rsid w:val="001B0113"/>
    <w:rsid w:val="001B1456"/>
    <w:rsid w:val="001B589D"/>
    <w:rsid w:val="001C258A"/>
    <w:rsid w:val="001C38CD"/>
    <w:rsid w:val="001D1B62"/>
    <w:rsid w:val="001D4383"/>
    <w:rsid w:val="001D4751"/>
    <w:rsid w:val="001D798E"/>
    <w:rsid w:val="001E2542"/>
    <w:rsid w:val="001E36E1"/>
    <w:rsid w:val="001F1605"/>
    <w:rsid w:val="002045A4"/>
    <w:rsid w:val="00205ACD"/>
    <w:rsid w:val="00215823"/>
    <w:rsid w:val="00217D2B"/>
    <w:rsid w:val="00220051"/>
    <w:rsid w:val="00221489"/>
    <w:rsid w:val="00224B04"/>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5D29"/>
    <w:rsid w:val="002C7C85"/>
    <w:rsid w:val="002D7E92"/>
    <w:rsid w:val="002E3E81"/>
    <w:rsid w:val="002E77E0"/>
    <w:rsid w:val="002F1C52"/>
    <w:rsid w:val="002F236C"/>
    <w:rsid w:val="002F2D19"/>
    <w:rsid w:val="002F76A7"/>
    <w:rsid w:val="0030128E"/>
    <w:rsid w:val="0030398E"/>
    <w:rsid w:val="00307341"/>
    <w:rsid w:val="00307654"/>
    <w:rsid w:val="00317EB4"/>
    <w:rsid w:val="00320777"/>
    <w:rsid w:val="00320DF3"/>
    <w:rsid w:val="003234D8"/>
    <w:rsid w:val="00323BDD"/>
    <w:rsid w:val="00365DB9"/>
    <w:rsid w:val="00366684"/>
    <w:rsid w:val="00382C14"/>
    <w:rsid w:val="003970E1"/>
    <w:rsid w:val="003972B8"/>
    <w:rsid w:val="003A276D"/>
    <w:rsid w:val="003B18D0"/>
    <w:rsid w:val="003B3F0A"/>
    <w:rsid w:val="003C0B6E"/>
    <w:rsid w:val="003D799D"/>
    <w:rsid w:val="003E0CE1"/>
    <w:rsid w:val="003E16CD"/>
    <w:rsid w:val="003E784C"/>
    <w:rsid w:val="003E7C6A"/>
    <w:rsid w:val="00401DC3"/>
    <w:rsid w:val="00405094"/>
    <w:rsid w:val="004270B5"/>
    <w:rsid w:val="004278A9"/>
    <w:rsid w:val="00427D52"/>
    <w:rsid w:val="00431A1C"/>
    <w:rsid w:val="00441254"/>
    <w:rsid w:val="00451E01"/>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E21A0"/>
    <w:rsid w:val="004E3B9B"/>
    <w:rsid w:val="004F0D17"/>
    <w:rsid w:val="004F2914"/>
    <w:rsid w:val="00503704"/>
    <w:rsid w:val="00504887"/>
    <w:rsid w:val="00511D91"/>
    <w:rsid w:val="00513493"/>
    <w:rsid w:val="0051757D"/>
    <w:rsid w:val="00533F6E"/>
    <w:rsid w:val="00534E7A"/>
    <w:rsid w:val="005350A4"/>
    <w:rsid w:val="00535B92"/>
    <w:rsid w:val="00535BD7"/>
    <w:rsid w:val="00542DCF"/>
    <w:rsid w:val="00544104"/>
    <w:rsid w:val="00546CAC"/>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D27DE"/>
    <w:rsid w:val="006F2FDF"/>
    <w:rsid w:val="006F4A12"/>
    <w:rsid w:val="006F7A88"/>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C1CDB"/>
    <w:rsid w:val="007C2ECC"/>
    <w:rsid w:val="007D1DCD"/>
    <w:rsid w:val="007D4D2E"/>
    <w:rsid w:val="007E0304"/>
    <w:rsid w:val="007E237F"/>
    <w:rsid w:val="007E4775"/>
    <w:rsid w:val="007E4B46"/>
    <w:rsid w:val="007E59DD"/>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E162A"/>
    <w:rsid w:val="008E19F6"/>
    <w:rsid w:val="008F2DA8"/>
    <w:rsid w:val="008F5D6E"/>
    <w:rsid w:val="00906A46"/>
    <w:rsid w:val="00910134"/>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0D2F"/>
    <w:rsid w:val="009B1DED"/>
    <w:rsid w:val="009B480A"/>
    <w:rsid w:val="009B5E40"/>
    <w:rsid w:val="009C071B"/>
    <w:rsid w:val="009C175D"/>
    <w:rsid w:val="009C1965"/>
    <w:rsid w:val="009D0255"/>
    <w:rsid w:val="009E21FE"/>
    <w:rsid w:val="009F7035"/>
    <w:rsid w:val="009F74F0"/>
    <w:rsid w:val="00A03F07"/>
    <w:rsid w:val="00A0773C"/>
    <w:rsid w:val="00A1155A"/>
    <w:rsid w:val="00A15575"/>
    <w:rsid w:val="00A17730"/>
    <w:rsid w:val="00A23542"/>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84210"/>
    <w:rsid w:val="00B97464"/>
    <w:rsid w:val="00BA03B7"/>
    <w:rsid w:val="00BB38A4"/>
    <w:rsid w:val="00BB514A"/>
    <w:rsid w:val="00BB5E4C"/>
    <w:rsid w:val="00BC6ABF"/>
    <w:rsid w:val="00BD1BE8"/>
    <w:rsid w:val="00BD3725"/>
    <w:rsid w:val="00BE25B4"/>
    <w:rsid w:val="00BE3204"/>
    <w:rsid w:val="00BE3EE9"/>
    <w:rsid w:val="00BE7BB9"/>
    <w:rsid w:val="00BF43DE"/>
    <w:rsid w:val="00BF4B6A"/>
    <w:rsid w:val="00BF4EFA"/>
    <w:rsid w:val="00C005AB"/>
    <w:rsid w:val="00C03007"/>
    <w:rsid w:val="00C04EF6"/>
    <w:rsid w:val="00C04FDF"/>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00C7"/>
    <w:rsid w:val="00DB1A00"/>
    <w:rsid w:val="00DB35D6"/>
    <w:rsid w:val="00DB5F72"/>
    <w:rsid w:val="00DC2ABE"/>
    <w:rsid w:val="00DC45C1"/>
    <w:rsid w:val="00DC7D65"/>
    <w:rsid w:val="00DD1237"/>
    <w:rsid w:val="00DD42D5"/>
    <w:rsid w:val="00DD55F3"/>
    <w:rsid w:val="00DD65F7"/>
    <w:rsid w:val="00DE3859"/>
    <w:rsid w:val="00DF4565"/>
    <w:rsid w:val="00E02E28"/>
    <w:rsid w:val="00E037B1"/>
    <w:rsid w:val="00E04405"/>
    <w:rsid w:val="00E11F71"/>
    <w:rsid w:val="00E20E41"/>
    <w:rsid w:val="00E3293B"/>
    <w:rsid w:val="00E32CBA"/>
    <w:rsid w:val="00E339A4"/>
    <w:rsid w:val="00E3596C"/>
    <w:rsid w:val="00E40F7B"/>
    <w:rsid w:val="00E4422C"/>
    <w:rsid w:val="00E51260"/>
    <w:rsid w:val="00E535AD"/>
    <w:rsid w:val="00E56E9B"/>
    <w:rsid w:val="00E57983"/>
    <w:rsid w:val="00E61F8F"/>
    <w:rsid w:val="00E64589"/>
    <w:rsid w:val="00E83E5A"/>
    <w:rsid w:val="00E90849"/>
    <w:rsid w:val="00E91CC0"/>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2282F"/>
    <w:rsid w:val="00F23DD7"/>
    <w:rsid w:val="00F3282C"/>
    <w:rsid w:val="00F60C73"/>
    <w:rsid w:val="00F61704"/>
    <w:rsid w:val="00F61F9E"/>
    <w:rsid w:val="00F656FC"/>
    <w:rsid w:val="00F71A33"/>
    <w:rsid w:val="00F745A6"/>
    <w:rsid w:val="00F74A3C"/>
    <w:rsid w:val="00F82204"/>
    <w:rsid w:val="00F84999"/>
    <w:rsid w:val="00FA2661"/>
    <w:rsid w:val="00FA429D"/>
    <w:rsid w:val="00FA65AF"/>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3F92-DCFA-44C6-BFC7-86DDF14BC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4.xml><?xml version="1.0" encoding="utf-8"?>
<ds:datastoreItem xmlns:ds="http://schemas.openxmlformats.org/officeDocument/2006/customXml" ds:itemID="{6B456517-8AFA-49DF-A1B0-11CD5AA4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Frank Johnson</cp:lastModifiedBy>
  <cp:revision>2</cp:revision>
  <cp:lastPrinted>2014-04-08T15:44:00Z</cp:lastPrinted>
  <dcterms:created xsi:type="dcterms:W3CDTF">2014-08-28T17:23:00Z</dcterms:created>
  <dcterms:modified xsi:type="dcterms:W3CDTF">2014-08-28T17:23:00Z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